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DB" w:rsidRDefault="00933ADB" w:rsidP="00933A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SNALS CONFSAL</w:t>
      </w:r>
    </w:p>
    <w:p w:rsidR="00933ADB" w:rsidRDefault="00933ADB" w:rsidP="00933A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Segreteria Provinciale di Palermo</w:t>
      </w:r>
    </w:p>
    <w:p w:rsidR="00933ADB" w:rsidRDefault="00933ADB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* DOMANDE </w:t>
      </w:r>
      <w:proofErr w:type="spellStart"/>
      <w:r>
        <w:rPr>
          <w:rFonts w:ascii="Verdana" w:hAnsi="Verdana" w:cs="Verdana"/>
          <w:sz w:val="21"/>
          <w:szCs w:val="21"/>
        </w:rPr>
        <w:t>DI</w:t>
      </w:r>
      <w:proofErr w:type="spellEnd"/>
      <w:r>
        <w:rPr>
          <w:rFonts w:ascii="Verdana" w:hAnsi="Verdana" w:cs="Verdana"/>
          <w:sz w:val="21"/>
          <w:szCs w:val="21"/>
        </w:rPr>
        <w:t xml:space="preserve"> SUPPLENZA ALL’ESTERO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Finalmente il MAE – DGSP Ufficio V ha pubblicato il decreto </w:t>
      </w:r>
      <w:proofErr w:type="spellStart"/>
      <w:r>
        <w:rPr>
          <w:rFonts w:ascii="Verdana" w:hAnsi="Verdana" w:cs="Verdana"/>
          <w:sz w:val="21"/>
          <w:szCs w:val="21"/>
        </w:rPr>
        <w:t>n°</w:t>
      </w:r>
      <w:proofErr w:type="spellEnd"/>
      <w:r>
        <w:rPr>
          <w:rFonts w:ascii="Verdana" w:hAnsi="Verdana" w:cs="Verdana"/>
          <w:sz w:val="21"/>
          <w:szCs w:val="21"/>
        </w:rPr>
        <w:t xml:space="preserve"> 3399 del 15/05/2012 con il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quale si dettano disposizioni sull’iscrizione dei docenti e amministrativi nelle graduatorie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degli aspiranti a supplenze nelle scuole italiane e nei corsi di lingua e cultura all’estero.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 tratti salienti di questo decreto sono: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SymbolMT" w:eastAsia="SymbolMT" w:hAnsi="Verdana" w:cs="SymbolMT" w:hint="eastAsia"/>
          <w:sz w:val="21"/>
          <w:szCs w:val="21"/>
        </w:rPr>
        <w:t></w:t>
      </w:r>
      <w:r>
        <w:rPr>
          <w:rFonts w:ascii="SymbolMT" w:eastAsia="SymbolMT" w:hAnsi="Verdana" w:cs="SymbolMT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tutte le graduatorie saranno suddivise in tre fasce e cioè: I fascia per i docenti già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inseriti nelle graduatorie a esaurimento; II fascia per i docenti abilitati o idonei per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l’insegnamento richiesto; III fascia per i docenti non idonei;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SymbolMT" w:eastAsia="SymbolMT" w:hAnsi="Verdana" w:cs="SymbolMT" w:hint="eastAsia"/>
          <w:sz w:val="21"/>
          <w:szCs w:val="21"/>
        </w:rPr>
        <w:t></w:t>
      </w:r>
      <w:r>
        <w:rPr>
          <w:rFonts w:ascii="SymbolMT" w:eastAsia="SymbolMT" w:hAnsi="Verdana" w:cs="SymbolMT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in ogni graduatoria saranno collocati prima i docenti residenti nel Paese ospite da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almeno un anno;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SymbolMT" w:eastAsia="SymbolMT" w:hAnsi="Verdana" w:cs="SymbolMT" w:hint="eastAsia"/>
          <w:sz w:val="21"/>
          <w:szCs w:val="21"/>
        </w:rPr>
        <w:t></w:t>
      </w:r>
      <w:r>
        <w:rPr>
          <w:rFonts w:ascii="SymbolMT" w:eastAsia="SymbolMT" w:hAnsi="Verdana" w:cs="SymbolMT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le nuove graduatorie rimarranno in vigore fino al 2015;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SymbolMT" w:eastAsia="SymbolMT" w:hAnsi="Verdana" w:cs="SymbolMT" w:hint="eastAsia"/>
          <w:sz w:val="21"/>
          <w:szCs w:val="21"/>
        </w:rPr>
        <w:t></w:t>
      </w:r>
      <w:r>
        <w:rPr>
          <w:rFonts w:ascii="SymbolMT" w:eastAsia="SymbolMT" w:hAnsi="Verdana" w:cs="SymbolMT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nelle graduatorie non potrà operare alcuna riserva di posti a favore di categorie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beneficiarie ex l. 68/1999 e altre leggi speciali;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SymbolMT" w:eastAsia="SymbolMT" w:hAnsi="Verdana" w:cs="SymbolMT" w:hint="eastAsia"/>
          <w:sz w:val="21"/>
          <w:szCs w:val="21"/>
        </w:rPr>
        <w:t></w:t>
      </w:r>
      <w:r>
        <w:rPr>
          <w:rFonts w:ascii="SymbolMT" w:eastAsia="SymbolMT" w:hAnsi="Verdana" w:cs="SymbolMT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 xml:space="preserve">la conoscenza delle lingue straniere </w:t>
      </w:r>
      <w:proofErr w:type="spellStart"/>
      <w:r>
        <w:rPr>
          <w:rFonts w:ascii="Verdana" w:hAnsi="Verdana" w:cs="Verdana"/>
          <w:sz w:val="21"/>
          <w:szCs w:val="21"/>
        </w:rPr>
        <w:t>dev</w:t>
      </w:r>
      <w:proofErr w:type="spellEnd"/>
      <w:r>
        <w:rPr>
          <w:rFonts w:ascii="Verdana" w:hAnsi="Verdana" w:cs="Verdana"/>
          <w:sz w:val="21"/>
          <w:szCs w:val="21"/>
        </w:rPr>
        <w:t>’essere attestata con la presentazione della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certificazione di cui alla tabella dell’</w:t>
      </w:r>
      <w:proofErr w:type="spellStart"/>
      <w:r>
        <w:rPr>
          <w:rFonts w:ascii="Verdana" w:hAnsi="Verdana" w:cs="Verdana"/>
          <w:sz w:val="21"/>
          <w:szCs w:val="21"/>
        </w:rPr>
        <w:t>European</w:t>
      </w:r>
      <w:proofErr w:type="spellEnd"/>
      <w:r>
        <w:rPr>
          <w:rFonts w:ascii="Verdana" w:hAnsi="Verdana" w:cs="Verdana"/>
          <w:sz w:val="21"/>
          <w:szCs w:val="21"/>
        </w:rPr>
        <w:t xml:space="preserve"> Common </w:t>
      </w:r>
      <w:proofErr w:type="spellStart"/>
      <w:r>
        <w:rPr>
          <w:rFonts w:ascii="Verdana" w:hAnsi="Verdana" w:cs="Verdana"/>
          <w:sz w:val="21"/>
          <w:szCs w:val="21"/>
        </w:rPr>
        <w:t>Framework</w:t>
      </w:r>
      <w:proofErr w:type="spellEnd"/>
      <w:r>
        <w:rPr>
          <w:rFonts w:ascii="Verdana" w:hAnsi="Verdana" w:cs="Verdana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sz w:val="21"/>
          <w:szCs w:val="21"/>
        </w:rPr>
        <w:t>of</w:t>
      </w:r>
      <w:proofErr w:type="spellEnd"/>
      <w:r>
        <w:rPr>
          <w:rFonts w:ascii="Verdana" w:hAnsi="Verdana" w:cs="Verdana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sz w:val="21"/>
          <w:szCs w:val="21"/>
        </w:rPr>
        <w:t>Reference</w:t>
      </w:r>
      <w:proofErr w:type="spellEnd"/>
      <w:r>
        <w:rPr>
          <w:rFonts w:ascii="Verdana" w:hAnsi="Verdana" w:cs="Verdana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sz w:val="21"/>
          <w:szCs w:val="21"/>
        </w:rPr>
        <w:t>for</w:t>
      </w:r>
      <w:proofErr w:type="spellEnd"/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proofErr w:type="spellStart"/>
      <w:r>
        <w:rPr>
          <w:rFonts w:ascii="Verdana" w:hAnsi="Verdana" w:cs="Verdana"/>
          <w:sz w:val="21"/>
          <w:szCs w:val="21"/>
        </w:rPr>
        <w:t>Language</w:t>
      </w:r>
      <w:proofErr w:type="spellEnd"/>
      <w:r>
        <w:rPr>
          <w:rFonts w:ascii="Verdana" w:hAnsi="Verdana" w:cs="Verdana"/>
          <w:sz w:val="21"/>
          <w:szCs w:val="21"/>
        </w:rPr>
        <w:t xml:space="preserve"> and </w:t>
      </w:r>
      <w:proofErr w:type="spellStart"/>
      <w:r>
        <w:rPr>
          <w:rFonts w:ascii="Verdana" w:hAnsi="Verdana" w:cs="Verdana"/>
          <w:sz w:val="21"/>
          <w:szCs w:val="21"/>
        </w:rPr>
        <w:t>Teaching</w:t>
      </w:r>
      <w:proofErr w:type="spellEnd"/>
      <w:r>
        <w:rPr>
          <w:rFonts w:ascii="Verdana" w:hAnsi="Verdana" w:cs="Verdana"/>
          <w:sz w:val="21"/>
          <w:szCs w:val="21"/>
        </w:rPr>
        <w:t>; ne sono esonerati i docenti laureati in lingua e letteratura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dell’area linguistica di riferimento, o che abbiano superato tre esami della suddetta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lingua;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SymbolMT" w:eastAsia="SymbolMT" w:hAnsi="Verdana" w:cs="SymbolMT" w:hint="eastAsia"/>
          <w:sz w:val="21"/>
          <w:szCs w:val="21"/>
        </w:rPr>
        <w:t></w:t>
      </w:r>
      <w:r>
        <w:rPr>
          <w:rFonts w:ascii="SymbolMT" w:eastAsia="SymbolMT" w:hAnsi="Verdana" w:cs="SymbolMT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l’età massima degli aspiranti è stabilita in 65 anni.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Inoltre l’art. 4 stabilisce gli altri requisiti e i casi di esclusione.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 domande devono essere presentate entro il 18 giugno 2012. Alla domanda bisogna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allegare solo i documenti di cui all’art. 6 del </w:t>
      </w:r>
      <w:proofErr w:type="spellStart"/>
      <w:r>
        <w:rPr>
          <w:rFonts w:ascii="Verdana" w:hAnsi="Verdana" w:cs="Verdana"/>
          <w:sz w:val="21"/>
          <w:szCs w:val="21"/>
        </w:rPr>
        <w:t>D.M</w:t>
      </w:r>
      <w:proofErr w:type="spellEnd"/>
      <w:r>
        <w:rPr>
          <w:rFonts w:ascii="Verdana" w:hAnsi="Verdana" w:cs="Verdana"/>
          <w:sz w:val="21"/>
          <w:szCs w:val="21"/>
        </w:rPr>
        <w:t>..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L’indirizzo degli uffici destinatari sono elencati nell’allegato 6.</w:t>
      </w:r>
    </w:p>
    <w:p w:rsidR="00F84007" w:rsidRDefault="00F84007" w:rsidP="00F840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Inseriamo in allegato l’avviso del 18/5/2012 che trasmette il suddetto</w:t>
      </w:r>
    </w:p>
    <w:p w:rsidR="00212AC6" w:rsidRDefault="00F84007" w:rsidP="00F84007">
      <w:r>
        <w:rPr>
          <w:rFonts w:ascii="Verdana" w:hAnsi="Verdana" w:cs="Verdana"/>
          <w:i/>
          <w:iCs/>
          <w:sz w:val="21"/>
          <w:szCs w:val="21"/>
        </w:rPr>
        <w:t>decreto e gli allegati relativi.</w:t>
      </w:r>
    </w:p>
    <w:sectPr w:rsidR="00212AC6" w:rsidSect="00212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4007"/>
    <w:rsid w:val="001B32FA"/>
    <w:rsid w:val="00212AC6"/>
    <w:rsid w:val="00416EB5"/>
    <w:rsid w:val="0058610D"/>
    <w:rsid w:val="0068616C"/>
    <w:rsid w:val="00933ADB"/>
    <w:rsid w:val="00983FED"/>
    <w:rsid w:val="00DD2E15"/>
    <w:rsid w:val="00DF4B8B"/>
    <w:rsid w:val="00F76E73"/>
    <w:rsid w:val="00F8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2</cp:revision>
  <dcterms:created xsi:type="dcterms:W3CDTF">2012-05-25T06:55:00Z</dcterms:created>
  <dcterms:modified xsi:type="dcterms:W3CDTF">2012-05-25T06:59:00Z</dcterms:modified>
</cp:coreProperties>
</file>