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72" w:rsidRDefault="009A1C72" w:rsidP="00BF4735">
      <w:pPr>
        <w:tabs>
          <w:tab w:val="left" w:pos="426"/>
        </w:tabs>
        <w:ind w:left="426" w:hanging="426"/>
        <w:jc w:val="both"/>
        <w:rPr>
          <w:rFonts w:ascii="Verdana" w:hAnsi="Verdana"/>
          <w:color w:val="000000"/>
          <w:sz w:val="21"/>
          <w:szCs w:val="21"/>
        </w:rPr>
      </w:pPr>
      <w:r>
        <w:rPr>
          <w:rFonts w:ascii="Verdana" w:hAnsi="Verdana"/>
          <w:noProof/>
          <w:color w:val="000000"/>
          <w:sz w:val="21"/>
          <w:szCs w:val="21"/>
        </w:rPr>
        <w:drawing>
          <wp:inline distT="0" distB="0" distL="0" distR="0">
            <wp:extent cx="1057275" cy="581025"/>
            <wp:effectExtent l="19050" t="0" r="9525" b="0"/>
            <wp:docPr id="1" name="Immagine 1" descr="C:\Documents and Settings\Utente\Desktop\Logo S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ente\Desktop\Logo Snals.jpg"/>
                    <pic:cNvPicPr>
                      <a:picLocks noChangeAspect="1" noChangeArrowheads="1"/>
                    </pic:cNvPicPr>
                  </pic:nvPicPr>
                  <pic:blipFill>
                    <a:blip r:embed="rId4" cstate="print"/>
                    <a:srcRect/>
                    <a:stretch>
                      <a:fillRect/>
                    </a:stretch>
                  </pic:blipFill>
                  <pic:spPr bwMode="auto">
                    <a:xfrm>
                      <a:off x="0" y="0"/>
                      <a:ext cx="1057275" cy="581025"/>
                    </a:xfrm>
                    <a:prstGeom prst="rect">
                      <a:avLst/>
                    </a:prstGeom>
                    <a:noFill/>
                    <a:ln w="9525">
                      <a:noFill/>
                      <a:miter lim="800000"/>
                      <a:headEnd/>
                      <a:tailEnd/>
                    </a:ln>
                  </pic:spPr>
                </pic:pic>
              </a:graphicData>
            </a:graphic>
          </wp:inline>
        </w:drawing>
      </w:r>
      <w:r>
        <w:rPr>
          <w:rFonts w:ascii="Verdana" w:hAnsi="Verdana"/>
          <w:color w:val="000000"/>
          <w:sz w:val="21"/>
          <w:szCs w:val="21"/>
        </w:rPr>
        <w:t>Segreteria Provinciale Palermo</w:t>
      </w:r>
    </w:p>
    <w:p w:rsidR="009A1C72" w:rsidRDefault="009A1C72" w:rsidP="00BF4735">
      <w:pPr>
        <w:tabs>
          <w:tab w:val="left" w:pos="426"/>
        </w:tabs>
        <w:ind w:left="426" w:hanging="426"/>
        <w:jc w:val="both"/>
        <w:rPr>
          <w:rFonts w:ascii="Verdana" w:hAnsi="Verdana"/>
          <w:color w:val="000000"/>
          <w:sz w:val="21"/>
          <w:szCs w:val="21"/>
        </w:rPr>
      </w:pPr>
    </w:p>
    <w:p w:rsidR="009A1C72" w:rsidRDefault="009A1C72" w:rsidP="00BF4735">
      <w:pPr>
        <w:tabs>
          <w:tab w:val="left" w:pos="426"/>
        </w:tabs>
        <w:ind w:left="426" w:hanging="426"/>
        <w:jc w:val="both"/>
        <w:rPr>
          <w:rFonts w:ascii="Verdana" w:hAnsi="Verdana"/>
          <w:color w:val="000000"/>
          <w:sz w:val="21"/>
          <w:szCs w:val="21"/>
        </w:rPr>
      </w:pPr>
    </w:p>
    <w:p w:rsidR="00BF4735" w:rsidRDefault="00BF4735" w:rsidP="00BF4735">
      <w:pPr>
        <w:tabs>
          <w:tab w:val="left" w:pos="426"/>
        </w:tabs>
        <w:ind w:left="426" w:hanging="426"/>
        <w:jc w:val="both"/>
        <w:rPr>
          <w:rFonts w:ascii="Verdana" w:hAnsi="Verdana"/>
          <w:color w:val="000000"/>
          <w:sz w:val="21"/>
          <w:szCs w:val="21"/>
        </w:rPr>
      </w:pPr>
      <w:r>
        <w:rPr>
          <w:rFonts w:ascii="Verdana" w:hAnsi="Verdana"/>
          <w:color w:val="000000"/>
          <w:sz w:val="21"/>
          <w:szCs w:val="21"/>
        </w:rPr>
        <w:tab/>
      </w:r>
      <w:r w:rsidRPr="00813A18">
        <w:rPr>
          <w:rFonts w:ascii="Verdana" w:hAnsi="Verdana"/>
          <w:color w:val="000000"/>
          <w:sz w:val="21"/>
          <w:szCs w:val="21"/>
          <w:u w:val="single"/>
        </w:rPr>
        <w:t xml:space="preserve">INTEGRAZIONE GRADUATORIE </w:t>
      </w:r>
      <w:proofErr w:type="spellStart"/>
      <w:r w:rsidRPr="00813A18">
        <w:rPr>
          <w:rFonts w:ascii="Verdana" w:hAnsi="Verdana"/>
          <w:color w:val="000000"/>
          <w:sz w:val="21"/>
          <w:szCs w:val="21"/>
          <w:u w:val="single"/>
        </w:rPr>
        <w:t>DI</w:t>
      </w:r>
      <w:proofErr w:type="spellEnd"/>
      <w:r w:rsidRPr="00813A18">
        <w:rPr>
          <w:rFonts w:ascii="Verdana" w:hAnsi="Verdana"/>
          <w:color w:val="000000"/>
          <w:sz w:val="21"/>
          <w:szCs w:val="21"/>
          <w:u w:val="single"/>
        </w:rPr>
        <w:t xml:space="preserve"> ISTITUTO </w:t>
      </w:r>
      <w:proofErr w:type="spellStart"/>
      <w:r w:rsidRPr="00813A18">
        <w:rPr>
          <w:rFonts w:ascii="Verdana" w:hAnsi="Verdana"/>
          <w:color w:val="000000"/>
          <w:sz w:val="21"/>
          <w:szCs w:val="21"/>
          <w:u w:val="single"/>
        </w:rPr>
        <w:t>DI</w:t>
      </w:r>
      <w:proofErr w:type="spellEnd"/>
      <w:r w:rsidRPr="00813A18">
        <w:rPr>
          <w:rFonts w:ascii="Verdana" w:hAnsi="Verdana"/>
          <w:color w:val="000000"/>
          <w:sz w:val="21"/>
          <w:szCs w:val="21"/>
          <w:u w:val="single"/>
        </w:rPr>
        <w:t xml:space="preserve"> II FASCIA DEL PERSONALE DOCENTE: EMANATI NOTA MIUR E D.M.</w:t>
      </w:r>
    </w:p>
    <w:p w:rsidR="00BF4735" w:rsidRDefault="00BF4735" w:rsidP="00BF4735">
      <w:pPr>
        <w:tabs>
          <w:tab w:val="left" w:pos="426"/>
        </w:tabs>
        <w:jc w:val="both"/>
        <w:rPr>
          <w:rFonts w:ascii="Verdana" w:hAnsi="Verdana"/>
          <w:color w:val="000000"/>
          <w:sz w:val="21"/>
          <w:szCs w:val="21"/>
        </w:rPr>
      </w:pPr>
      <w:r>
        <w:rPr>
          <w:rFonts w:ascii="Verdana" w:hAnsi="Verdana"/>
          <w:color w:val="000000"/>
          <w:sz w:val="21"/>
          <w:szCs w:val="21"/>
        </w:rPr>
        <w:t xml:space="preserve">In data 13/5/2015, il MIUR ha emanato la nota </w:t>
      </w:r>
      <w:proofErr w:type="spellStart"/>
      <w:r>
        <w:rPr>
          <w:rFonts w:ascii="Verdana" w:hAnsi="Verdana"/>
          <w:color w:val="000000"/>
          <w:sz w:val="21"/>
          <w:szCs w:val="21"/>
        </w:rPr>
        <w:t>prot</w:t>
      </w:r>
      <w:proofErr w:type="spellEnd"/>
      <w:r>
        <w:rPr>
          <w:rFonts w:ascii="Verdana" w:hAnsi="Verdana"/>
          <w:color w:val="000000"/>
          <w:sz w:val="21"/>
          <w:szCs w:val="21"/>
        </w:rPr>
        <w:t xml:space="preserve">. </w:t>
      </w:r>
      <w:r w:rsidRPr="00DB3972">
        <w:rPr>
          <w:rFonts w:ascii="Verdana" w:hAnsi="Verdana"/>
          <w:color w:val="000000"/>
          <w:sz w:val="21"/>
          <w:szCs w:val="21"/>
        </w:rPr>
        <w:t>14578</w:t>
      </w:r>
      <w:r>
        <w:rPr>
          <w:rFonts w:ascii="Verdana" w:hAnsi="Verdana"/>
          <w:color w:val="000000"/>
          <w:sz w:val="21"/>
          <w:szCs w:val="21"/>
        </w:rPr>
        <w:t>, avente per oggetto:  “</w:t>
      </w:r>
      <w:r w:rsidRPr="00C2765D">
        <w:rPr>
          <w:rFonts w:ascii="Verdana" w:hAnsi="Verdana"/>
          <w:i/>
          <w:color w:val="000000"/>
          <w:sz w:val="21"/>
          <w:szCs w:val="21"/>
        </w:rPr>
        <w:t>D.M. 4 maggio 2015 n. 248. Integrazione Graduatorie di Istituto di II fascia del personale docente</w:t>
      </w:r>
      <w:r>
        <w:rPr>
          <w:rFonts w:ascii="Verdana" w:hAnsi="Verdana"/>
          <w:color w:val="000000"/>
          <w:sz w:val="21"/>
          <w:szCs w:val="21"/>
        </w:rPr>
        <w:t xml:space="preserve">”, di trasmissione del </w:t>
      </w:r>
      <w:r w:rsidRPr="00DB3972">
        <w:rPr>
          <w:rFonts w:ascii="Verdana" w:hAnsi="Verdana"/>
          <w:color w:val="000000"/>
          <w:sz w:val="21"/>
          <w:szCs w:val="21"/>
        </w:rPr>
        <w:t xml:space="preserve">D.M. n. 248 del 4 maggio 2015, </w:t>
      </w:r>
      <w:r>
        <w:rPr>
          <w:rFonts w:ascii="Verdana" w:hAnsi="Verdana"/>
          <w:color w:val="000000"/>
          <w:sz w:val="21"/>
          <w:szCs w:val="21"/>
        </w:rPr>
        <w:t>relativo all</w:t>
      </w:r>
      <w:r w:rsidRPr="00DB3972">
        <w:rPr>
          <w:rFonts w:ascii="Verdana" w:hAnsi="Verdana"/>
          <w:color w:val="000000"/>
          <w:sz w:val="21"/>
          <w:szCs w:val="21"/>
        </w:rPr>
        <w:t>'integrazione delle graduatorie di II fascia del personale docente.</w:t>
      </w:r>
    </w:p>
    <w:p w:rsidR="00BF4735" w:rsidRPr="00BF4735" w:rsidRDefault="00BF4735" w:rsidP="00BF4735">
      <w:pPr>
        <w:tabs>
          <w:tab w:val="left" w:pos="426"/>
        </w:tabs>
        <w:jc w:val="both"/>
        <w:rPr>
          <w:rFonts w:ascii="Verdana" w:hAnsi="Verdana"/>
          <w:b/>
          <w:color w:val="000000"/>
          <w:sz w:val="21"/>
          <w:szCs w:val="21"/>
        </w:rPr>
      </w:pPr>
      <w:r w:rsidRPr="00BF4735">
        <w:rPr>
          <w:rFonts w:ascii="Verdana" w:hAnsi="Verdana"/>
          <w:b/>
          <w:color w:val="000000"/>
          <w:sz w:val="21"/>
          <w:szCs w:val="21"/>
        </w:rPr>
        <w:t>Il decreto</w:t>
      </w:r>
      <w:r>
        <w:rPr>
          <w:rFonts w:ascii="Verdana" w:hAnsi="Verdana"/>
          <w:color w:val="000000"/>
          <w:sz w:val="21"/>
          <w:szCs w:val="21"/>
        </w:rPr>
        <w:t xml:space="preserve"> (emanato in</w:t>
      </w:r>
      <w:r w:rsidRPr="00DB3972">
        <w:rPr>
          <w:rFonts w:ascii="Verdana" w:hAnsi="Verdana"/>
          <w:color w:val="000000"/>
          <w:sz w:val="21"/>
          <w:szCs w:val="21"/>
        </w:rPr>
        <w:t xml:space="preserve"> attua</w:t>
      </w:r>
      <w:r>
        <w:rPr>
          <w:rFonts w:ascii="Verdana" w:hAnsi="Verdana"/>
          <w:color w:val="000000"/>
          <w:sz w:val="21"/>
          <w:szCs w:val="21"/>
        </w:rPr>
        <w:t>zione</w:t>
      </w:r>
      <w:r w:rsidRPr="00DB3972">
        <w:rPr>
          <w:rFonts w:ascii="Verdana" w:hAnsi="Verdana"/>
          <w:color w:val="000000"/>
          <w:sz w:val="21"/>
          <w:szCs w:val="21"/>
        </w:rPr>
        <w:t xml:space="preserve"> degli artt. 14, co</w:t>
      </w:r>
      <w:proofErr w:type="spellStart"/>
      <w:r>
        <w:rPr>
          <w:rFonts w:ascii="Verdana" w:hAnsi="Verdana"/>
          <w:color w:val="000000"/>
          <w:sz w:val="21"/>
          <w:szCs w:val="21"/>
        </w:rPr>
        <w:t>.</w:t>
      </w:r>
      <w:r w:rsidRPr="00DB3972">
        <w:rPr>
          <w:rFonts w:ascii="Verdana" w:hAnsi="Verdana"/>
          <w:color w:val="000000"/>
          <w:sz w:val="21"/>
          <w:szCs w:val="21"/>
        </w:rPr>
        <w:t>2</w:t>
      </w:r>
      <w:proofErr w:type="spellEnd"/>
      <w:r w:rsidRPr="00DB3972">
        <w:rPr>
          <w:rFonts w:ascii="Verdana" w:hAnsi="Verdana"/>
          <w:color w:val="000000"/>
          <w:sz w:val="21"/>
          <w:szCs w:val="21"/>
        </w:rPr>
        <w:t>, del D.M. 16 maggio 2014 n. 312 e 14,</w:t>
      </w:r>
      <w:r>
        <w:rPr>
          <w:rFonts w:ascii="Verdana" w:hAnsi="Verdana"/>
          <w:color w:val="000000"/>
          <w:sz w:val="21"/>
          <w:szCs w:val="21"/>
        </w:rPr>
        <w:t xml:space="preserve"> </w:t>
      </w:r>
      <w:r w:rsidRPr="00DB3972">
        <w:rPr>
          <w:rFonts w:ascii="Verdana" w:hAnsi="Verdana"/>
          <w:color w:val="000000"/>
          <w:sz w:val="21"/>
          <w:szCs w:val="21"/>
        </w:rPr>
        <w:t>co</w:t>
      </w:r>
      <w:proofErr w:type="spellStart"/>
      <w:r>
        <w:rPr>
          <w:rFonts w:ascii="Verdana" w:hAnsi="Verdana"/>
          <w:color w:val="000000"/>
          <w:sz w:val="21"/>
          <w:szCs w:val="21"/>
        </w:rPr>
        <w:t>.1</w:t>
      </w:r>
      <w:proofErr w:type="spellEnd"/>
      <w:r>
        <w:rPr>
          <w:rFonts w:ascii="Verdana" w:hAnsi="Verdana"/>
          <w:color w:val="000000"/>
          <w:sz w:val="21"/>
          <w:szCs w:val="21"/>
        </w:rPr>
        <w:t>, del D.M. 22 maggio</w:t>
      </w:r>
      <w:r w:rsidRPr="00DB3972">
        <w:rPr>
          <w:rFonts w:ascii="Verdana" w:hAnsi="Verdana"/>
          <w:color w:val="000000"/>
          <w:sz w:val="21"/>
          <w:szCs w:val="21"/>
        </w:rPr>
        <w:t xml:space="preserve"> 2014 n. 353</w:t>
      </w:r>
      <w:r>
        <w:rPr>
          <w:rFonts w:ascii="Verdana" w:hAnsi="Verdana"/>
          <w:color w:val="000000"/>
          <w:sz w:val="21"/>
          <w:szCs w:val="21"/>
        </w:rPr>
        <w:t xml:space="preserve">), </w:t>
      </w:r>
      <w:r w:rsidRPr="00BF4735">
        <w:rPr>
          <w:rFonts w:ascii="Verdana" w:hAnsi="Verdana"/>
          <w:b/>
          <w:color w:val="000000"/>
          <w:sz w:val="21"/>
          <w:szCs w:val="21"/>
        </w:rPr>
        <w:t>consente, con periodicità semestrale</w:t>
      </w:r>
      <w:r>
        <w:rPr>
          <w:rFonts w:ascii="Verdana" w:hAnsi="Verdana"/>
          <w:color w:val="000000"/>
          <w:sz w:val="21"/>
          <w:szCs w:val="21"/>
        </w:rPr>
        <w:t xml:space="preserve">, ai </w:t>
      </w:r>
      <w:r w:rsidRPr="00DB3972">
        <w:rPr>
          <w:rFonts w:ascii="Verdana" w:hAnsi="Verdana"/>
          <w:color w:val="000000"/>
          <w:sz w:val="21"/>
          <w:szCs w:val="21"/>
        </w:rPr>
        <w:t xml:space="preserve">docenti che conseguono </w:t>
      </w:r>
      <w:r>
        <w:rPr>
          <w:rFonts w:ascii="Verdana" w:hAnsi="Verdana"/>
          <w:color w:val="000000"/>
          <w:sz w:val="21"/>
          <w:szCs w:val="21"/>
        </w:rPr>
        <w:t>l’</w:t>
      </w:r>
      <w:r w:rsidRPr="00DB3972">
        <w:rPr>
          <w:rFonts w:ascii="Verdana" w:hAnsi="Verdana"/>
          <w:color w:val="000000"/>
          <w:sz w:val="21"/>
          <w:szCs w:val="21"/>
        </w:rPr>
        <w:t>abilitazione oltre il previsto termine di aggiornamento</w:t>
      </w:r>
      <w:r>
        <w:rPr>
          <w:rFonts w:ascii="Verdana" w:hAnsi="Verdana"/>
          <w:color w:val="000000"/>
          <w:sz w:val="21"/>
          <w:szCs w:val="21"/>
        </w:rPr>
        <w:t xml:space="preserve">, </w:t>
      </w:r>
      <w:r w:rsidRPr="00BF4735">
        <w:rPr>
          <w:rFonts w:ascii="Verdana" w:hAnsi="Verdana"/>
          <w:b/>
          <w:color w:val="000000"/>
          <w:sz w:val="21"/>
          <w:szCs w:val="21"/>
        </w:rPr>
        <w:t>di inserirsi in II fascia delle graduatorie di circolo e di istituto, in elenco aggiuntivo rispetto alla propria finestra di inserimento e, prevede la precedenza assoluta per l'attribuzione delle supplenze di III fascia per gli inclusi nella stessa, nelle more degli aggiornamenti periodici delle graduatorie di istituto.</w:t>
      </w:r>
    </w:p>
    <w:p w:rsidR="00BF4735" w:rsidRDefault="00BF4735" w:rsidP="00BF4735">
      <w:pPr>
        <w:tabs>
          <w:tab w:val="left" w:pos="426"/>
        </w:tabs>
        <w:jc w:val="both"/>
        <w:rPr>
          <w:rFonts w:ascii="Verdana" w:hAnsi="Verdana"/>
          <w:color w:val="000000"/>
          <w:sz w:val="21"/>
          <w:szCs w:val="21"/>
        </w:rPr>
      </w:pPr>
      <w:r>
        <w:rPr>
          <w:rFonts w:ascii="Verdana" w:hAnsi="Verdana"/>
          <w:color w:val="000000"/>
          <w:sz w:val="21"/>
          <w:szCs w:val="21"/>
        </w:rPr>
        <w:t xml:space="preserve">Possono inserirsi </w:t>
      </w:r>
      <w:r w:rsidRPr="00DB3972">
        <w:rPr>
          <w:rFonts w:ascii="Verdana" w:hAnsi="Verdana"/>
          <w:color w:val="000000"/>
          <w:sz w:val="21"/>
          <w:szCs w:val="21"/>
        </w:rPr>
        <w:t>nella II fascia delle graduatorie di circolo e</w:t>
      </w:r>
      <w:r>
        <w:rPr>
          <w:rFonts w:ascii="Verdana" w:hAnsi="Verdana"/>
          <w:color w:val="000000"/>
          <w:sz w:val="21"/>
          <w:szCs w:val="21"/>
        </w:rPr>
        <w:t xml:space="preserve"> </w:t>
      </w:r>
      <w:r w:rsidRPr="00DB3972">
        <w:rPr>
          <w:rFonts w:ascii="Verdana" w:hAnsi="Verdana"/>
          <w:color w:val="000000"/>
          <w:sz w:val="21"/>
          <w:szCs w:val="21"/>
        </w:rPr>
        <w:t>di istituto i docenti</w:t>
      </w:r>
      <w:r w:rsidRPr="00EA2895">
        <w:rPr>
          <w:rFonts w:ascii="Verdana" w:hAnsi="Verdana"/>
          <w:color w:val="000000"/>
          <w:sz w:val="21"/>
          <w:szCs w:val="21"/>
        </w:rPr>
        <w:t xml:space="preserve"> </w:t>
      </w:r>
      <w:r w:rsidRPr="00DB3972">
        <w:rPr>
          <w:rFonts w:ascii="Verdana" w:hAnsi="Verdana"/>
          <w:color w:val="000000"/>
          <w:sz w:val="21"/>
          <w:szCs w:val="21"/>
        </w:rPr>
        <w:t>che conseguono il titolo di abilitazione entro il</w:t>
      </w:r>
      <w:r>
        <w:rPr>
          <w:rFonts w:ascii="Verdana" w:hAnsi="Verdana"/>
          <w:color w:val="000000"/>
          <w:sz w:val="21"/>
          <w:szCs w:val="21"/>
        </w:rPr>
        <w:t xml:space="preserve"> 1°</w:t>
      </w:r>
      <w:r w:rsidRPr="00DB3972">
        <w:rPr>
          <w:rFonts w:ascii="Verdana" w:hAnsi="Verdana"/>
          <w:color w:val="000000"/>
          <w:sz w:val="21"/>
          <w:szCs w:val="21"/>
        </w:rPr>
        <w:t xml:space="preserve"> febbraio ed entro il</w:t>
      </w:r>
      <w:r>
        <w:rPr>
          <w:rFonts w:ascii="Verdana" w:hAnsi="Verdana"/>
          <w:color w:val="000000"/>
          <w:sz w:val="21"/>
          <w:szCs w:val="21"/>
        </w:rPr>
        <w:t xml:space="preserve"> 1° </w:t>
      </w:r>
      <w:r w:rsidRPr="00DB3972">
        <w:rPr>
          <w:rFonts w:ascii="Verdana" w:hAnsi="Verdana"/>
          <w:color w:val="000000"/>
          <w:sz w:val="21"/>
          <w:szCs w:val="21"/>
        </w:rPr>
        <w:t>agosto di ciascun anno del triennio di validità delle graduatorie</w:t>
      </w:r>
      <w:r>
        <w:rPr>
          <w:rFonts w:ascii="Verdana" w:hAnsi="Verdana"/>
          <w:color w:val="000000"/>
          <w:sz w:val="21"/>
          <w:szCs w:val="21"/>
        </w:rPr>
        <w:t xml:space="preserve">, prevedendo la valutazione, secondo la tabella </w:t>
      </w:r>
      <w:r w:rsidRPr="00DB3972">
        <w:rPr>
          <w:rFonts w:ascii="Verdana" w:hAnsi="Verdana"/>
          <w:color w:val="000000"/>
          <w:sz w:val="21"/>
          <w:szCs w:val="21"/>
        </w:rPr>
        <w:t xml:space="preserve">A </w:t>
      </w:r>
      <w:r>
        <w:rPr>
          <w:rFonts w:ascii="Verdana" w:hAnsi="Verdana"/>
          <w:color w:val="000000"/>
          <w:sz w:val="21"/>
          <w:szCs w:val="21"/>
        </w:rPr>
        <w:t>de</w:t>
      </w:r>
      <w:r w:rsidRPr="00DB3972">
        <w:rPr>
          <w:rFonts w:ascii="Verdana" w:hAnsi="Verdana"/>
          <w:color w:val="000000"/>
          <w:sz w:val="21"/>
          <w:szCs w:val="21"/>
        </w:rPr>
        <w:t>l D.M.</w:t>
      </w:r>
      <w:r>
        <w:rPr>
          <w:rFonts w:ascii="Verdana" w:hAnsi="Verdana"/>
          <w:color w:val="000000"/>
          <w:sz w:val="21"/>
          <w:szCs w:val="21"/>
        </w:rPr>
        <w:t xml:space="preserve"> </w:t>
      </w:r>
      <w:r w:rsidRPr="00DB3972">
        <w:rPr>
          <w:rFonts w:ascii="Verdana" w:hAnsi="Verdana"/>
          <w:color w:val="000000"/>
          <w:sz w:val="21"/>
          <w:szCs w:val="21"/>
        </w:rPr>
        <w:t>n.</w:t>
      </w:r>
      <w:r>
        <w:rPr>
          <w:rFonts w:ascii="Verdana" w:hAnsi="Verdana"/>
          <w:color w:val="000000"/>
          <w:sz w:val="21"/>
          <w:szCs w:val="21"/>
        </w:rPr>
        <w:t xml:space="preserve"> </w:t>
      </w:r>
      <w:r w:rsidRPr="00DB3972">
        <w:rPr>
          <w:rFonts w:ascii="Verdana" w:hAnsi="Verdana"/>
          <w:color w:val="000000"/>
          <w:sz w:val="21"/>
          <w:szCs w:val="21"/>
        </w:rPr>
        <w:t>353/2014</w:t>
      </w:r>
      <w:r>
        <w:rPr>
          <w:rFonts w:ascii="Verdana" w:hAnsi="Verdana"/>
          <w:color w:val="000000"/>
          <w:sz w:val="21"/>
          <w:szCs w:val="21"/>
        </w:rPr>
        <w:t>, degli altri titoli posseduti entro</w:t>
      </w:r>
      <w:r w:rsidRPr="00DB3972">
        <w:rPr>
          <w:rFonts w:ascii="Verdana" w:hAnsi="Verdana"/>
          <w:color w:val="000000"/>
          <w:sz w:val="21"/>
          <w:szCs w:val="21"/>
        </w:rPr>
        <w:t xml:space="preserve"> </w:t>
      </w:r>
      <w:r>
        <w:rPr>
          <w:rFonts w:ascii="Verdana" w:hAnsi="Verdana"/>
          <w:color w:val="000000"/>
          <w:sz w:val="21"/>
          <w:szCs w:val="21"/>
        </w:rPr>
        <w:t>il</w:t>
      </w:r>
      <w:r w:rsidRPr="00DB3972">
        <w:rPr>
          <w:rFonts w:ascii="Verdana" w:hAnsi="Verdana"/>
          <w:color w:val="000000"/>
          <w:sz w:val="21"/>
          <w:szCs w:val="21"/>
        </w:rPr>
        <w:t xml:space="preserve"> 23 giugno 2014</w:t>
      </w:r>
      <w:r>
        <w:rPr>
          <w:rFonts w:ascii="Verdana" w:hAnsi="Verdana"/>
          <w:color w:val="000000"/>
          <w:sz w:val="21"/>
          <w:szCs w:val="21"/>
        </w:rPr>
        <w:t>.</w:t>
      </w:r>
    </w:p>
    <w:p w:rsidR="00BF4735" w:rsidRDefault="00BF4735" w:rsidP="00BF4735">
      <w:pPr>
        <w:tabs>
          <w:tab w:val="left" w:pos="426"/>
        </w:tabs>
        <w:jc w:val="both"/>
        <w:rPr>
          <w:rFonts w:ascii="Verdana" w:hAnsi="Verdana"/>
          <w:color w:val="000000"/>
          <w:sz w:val="21"/>
          <w:szCs w:val="21"/>
        </w:rPr>
      </w:pPr>
      <w:r>
        <w:rPr>
          <w:rFonts w:ascii="Verdana" w:hAnsi="Verdana"/>
          <w:color w:val="000000"/>
          <w:sz w:val="21"/>
          <w:szCs w:val="21"/>
        </w:rPr>
        <w:t xml:space="preserve">Analogamente, con le stesse cadenze, è previsto l’inserimento dei titoli di </w:t>
      </w:r>
      <w:r w:rsidRPr="00DB3972">
        <w:rPr>
          <w:rFonts w:ascii="Verdana" w:hAnsi="Verdana"/>
          <w:color w:val="000000"/>
          <w:sz w:val="21"/>
          <w:szCs w:val="21"/>
        </w:rPr>
        <w:t xml:space="preserve">specializzazione per il sostegno </w:t>
      </w:r>
      <w:r>
        <w:rPr>
          <w:rFonts w:ascii="Verdana" w:hAnsi="Verdana"/>
          <w:color w:val="000000"/>
          <w:sz w:val="21"/>
          <w:szCs w:val="21"/>
        </w:rPr>
        <w:t>per coloro che sono già inseriti in graduatoria, senza riconoscere il punteggio, nelle more del rifacimento triennale.</w:t>
      </w:r>
    </w:p>
    <w:p w:rsidR="00BF4735" w:rsidRPr="00126506" w:rsidRDefault="00BF4735" w:rsidP="00BF4735">
      <w:pPr>
        <w:tabs>
          <w:tab w:val="left" w:pos="426"/>
        </w:tabs>
        <w:jc w:val="both"/>
        <w:rPr>
          <w:rFonts w:ascii="Verdana" w:hAnsi="Verdana"/>
          <w:b/>
          <w:color w:val="000000"/>
          <w:sz w:val="21"/>
          <w:szCs w:val="21"/>
        </w:rPr>
      </w:pPr>
      <w:r w:rsidRPr="00126506">
        <w:rPr>
          <w:rFonts w:ascii="Verdana" w:hAnsi="Verdana"/>
          <w:b/>
          <w:color w:val="000000"/>
          <w:sz w:val="21"/>
          <w:szCs w:val="21"/>
        </w:rPr>
        <w:t>Le istanze, in attuazione del D.M. n. 248/2015, saranno definite con successivo decreto direttoriale.</w:t>
      </w:r>
    </w:p>
    <w:p w:rsidR="00BF4735" w:rsidRDefault="00BF4735" w:rsidP="00BF4735">
      <w:pPr>
        <w:tabs>
          <w:tab w:val="left" w:pos="426"/>
        </w:tabs>
        <w:jc w:val="center"/>
        <w:rPr>
          <w:rFonts w:ascii="Verdana" w:hAnsi="Verdana"/>
          <w:color w:val="000000"/>
          <w:sz w:val="21"/>
          <w:szCs w:val="21"/>
        </w:rPr>
      </w:pPr>
      <w:r>
        <w:rPr>
          <w:rFonts w:ascii="Verdana" w:hAnsi="Verdana"/>
          <w:color w:val="000000"/>
          <w:sz w:val="21"/>
          <w:szCs w:val="21"/>
        </w:rPr>
        <w:t>Il D.M.,</w:t>
      </w:r>
    </w:p>
    <w:p w:rsidR="00BF4735" w:rsidRDefault="00BF4735" w:rsidP="00BF4735">
      <w:pPr>
        <w:tabs>
          <w:tab w:val="left" w:pos="426"/>
        </w:tabs>
        <w:jc w:val="both"/>
        <w:rPr>
          <w:rFonts w:ascii="Verdana" w:hAnsi="Verdana"/>
          <w:color w:val="000000"/>
          <w:sz w:val="21"/>
          <w:szCs w:val="21"/>
        </w:rPr>
      </w:pPr>
      <w:r w:rsidRPr="008E3E53">
        <w:rPr>
          <w:rFonts w:ascii="Verdana" w:hAnsi="Verdana"/>
          <w:b/>
          <w:color w:val="000000"/>
          <w:sz w:val="21"/>
          <w:szCs w:val="21"/>
        </w:rPr>
        <w:t>all’art. 1</w:t>
      </w:r>
      <w:r>
        <w:rPr>
          <w:rFonts w:ascii="Verdana" w:hAnsi="Verdana"/>
          <w:color w:val="000000"/>
          <w:sz w:val="21"/>
          <w:szCs w:val="21"/>
        </w:rPr>
        <w:t>, in particolare, prevede, altresì, che per richiedere l’inserimento in II fascia, relativamente alla scuola secondaria di I e II grado, è necessario essere già inseriti nelle graduatorie di III fascia, mentre per la scuola primaria e dell’infanzia è prevista la possibilità di nuovo inserimento in II fascia, in quanto la laurea di scienze di formazione primaria è titolo di accesso e abilitazione.</w:t>
      </w:r>
    </w:p>
    <w:p w:rsidR="00BF4735" w:rsidRDefault="00BF4735" w:rsidP="00BF4735">
      <w:pPr>
        <w:tabs>
          <w:tab w:val="left" w:pos="426"/>
        </w:tabs>
        <w:jc w:val="both"/>
        <w:rPr>
          <w:rFonts w:ascii="Verdana" w:hAnsi="Verdana"/>
          <w:color w:val="000000"/>
          <w:sz w:val="21"/>
          <w:szCs w:val="21"/>
        </w:rPr>
      </w:pPr>
      <w:r>
        <w:rPr>
          <w:rFonts w:ascii="Verdana" w:hAnsi="Verdana"/>
          <w:color w:val="000000"/>
          <w:sz w:val="21"/>
          <w:szCs w:val="21"/>
        </w:rPr>
        <w:t>Con i vari aggiornamenti periodici saranno costituiti elenchi aggiuntivi della II fascia, nelle more dell’aggiornamento triennale.</w:t>
      </w:r>
    </w:p>
    <w:p w:rsidR="00BF4735" w:rsidRDefault="00BF4735" w:rsidP="00BF4735">
      <w:pPr>
        <w:tabs>
          <w:tab w:val="left" w:pos="426"/>
        </w:tabs>
        <w:jc w:val="both"/>
        <w:rPr>
          <w:rFonts w:ascii="Verdana" w:hAnsi="Verdana"/>
          <w:color w:val="000000"/>
          <w:sz w:val="21"/>
          <w:szCs w:val="21"/>
        </w:rPr>
      </w:pPr>
      <w:r>
        <w:rPr>
          <w:rFonts w:ascii="Verdana" w:hAnsi="Verdana"/>
          <w:color w:val="000000"/>
          <w:sz w:val="21"/>
          <w:szCs w:val="21"/>
        </w:rPr>
        <w:t>Nei periodi intercorrenti tra gli aggiornamenti semestrali è prevista la priorità nel conferimento delle supplenze di III fascia con l’inserimento del titolo in via telematica, e il riconoscimento dell’abilitazione come titolo prioritario, nel caso si pervenga alla scelta dei supplenti attraverso la “messa a disposizione”;</w:t>
      </w:r>
    </w:p>
    <w:p w:rsidR="00BF4735" w:rsidRDefault="00BF4735" w:rsidP="00BF4735">
      <w:pPr>
        <w:tabs>
          <w:tab w:val="left" w:pos="426"/>
        </w:tabs>
        <w:jc w:val="both"/>
        <w:rPr>
          <w:rFonts w:ascii="Verdana" w:hAnsi="Verdana"/>
          <w:color w:val="000000"/>
          <w:sz w:val="21"/>
          <w:szCs w:val="21"/>
        </w:rPr>
      </w:pPr>
      <w:r w:rsidRPr="008E3E53">
        <w:rPr>
          <w:rFonts w:ascii="Verdana" w:hAnsi="Verdana"/>
          <w:b/>
          <w:color w:val="000000"/>
          <w:sz w:val="21"/>
          <w:szCs w:val="21"/>
        </w:rPr>
        <w:t>all’art. 2</w:t>
      </w:r>
      <w:r>
        <w:rPr>
          <w:rFonts w:ascii="Verdana" w:hAnsi="Verdana"/>
          <w:color w:val="000000"/>
          <w:sz w:val="21"/>
          <w:szCs w:val="21"/>
        </w:rPr>
        <w:t xml:space="preserve"> è previsto, per chi consegua </w:t>
      </w:r>
      <w:r w:rsidRPr="00536BAF">
        <w:rPr>
          <w:rFonts w:ascii="Verdana" w:hAnsi="Verdana"/>
          <w:color w:val="000000"/>
          <w:sz w:val="21"/>
          <w:szCs w:val="21"/>
        </w:rPr>
        <w:t>il titolo di specializzazione per il sostegno agli</w:t>
      </w:r>
      <w:r>
        <w:rPr>
          <w:rFonts w:ascii="Verdana" w:hAnsi="Verdana"/>
          <w:color w:val="000000"/>
          <w:sz w:val="21"/>
          <w:szCs w:val="21"/>
        </w:rPr>
        <w:t xml:space="preserve"> </w:t>
      </w:r>
      <w:r w:rsidRPr="00536BAF">
        <w:rPr>
          <w:rFonts w:ascii="Verdana" w:hAnsi="Verdana"/>
          <w:color w:val="000000"/>
          <w:sz w:val="21"/>
          <w:szCs w:val="21"/>
        </w:rPr>
        <w:t>alunni con disabilità</w:t>
      </w:r>
      <w:r>
        <w:rPr>
          <w:rFonts w:ascii="Verdana" w:hAnsi="Verdana"/>
          <w:color w:val="000000"/>
          <w:sz w:val="21"/>
          <w:szCs w:val="21"/>
        </w:rPr>
        <w:t xml:space="preserve">, di inserirlo nelle </w:t>
      </w:r>
      <w:r w:rsidRPr="00536BAF">
        <w:rPr>
          <w:rFonts w:ascii="Verdana" w:hAnsi="Verdana"/>
          <w:color w:val="000000"/>
          <w:sz w:val="21"/>
          <w:szCs w:val="21"/>
        </w:rPr>
        <w:t xml:space="preserve">graduatorie di istituto ove sono </w:t>
      </w:r>
      <w:r>
        <w:rPr>
          <w:rFonts w:ascii="Verdana" w:hAnsi="Verdana"/>
          <w:color w:val="000000"/>
          <w:sz w:val="21"/>
          <w:szCs w:val="21"/>
        </w:rPr>
        <w:t>inclusi, ai fini dell’attribuzione delle relative supplenze; il punteggio sarà riconosciuto</w:t>
      </w:r>
      <w:r w:rsidRPr="002626F1">
        <w:rPr>
          <w:rFonts w:ascii="Verdana" w:hAnsi="Verdana"/>
          <w:color w:val="000000"/>
          <w:sz w:val="21"/>
          <w:szCs w:val="21"/>
        </w:rPr>
        <w:t xml:space="preserve"> </w:t>
      </w:r>
      <w:r>
        <w:rPr>
          <w:rFonts w:ascii="Verdana" w:hAnsi="Verdana"/>
          <w:color w:val="000000"/>
          <w:sz w:val="21"/>
          <w:szCs w:val="21"/>
        </w:rPr>
        <w:t>all'</w:t>
      </w:r>
      <w:r w:rsidRPr="00536BAF">
        <w:rPr>
          <w:rFonts w:ascii="Verdana" w:hAnsi="Verdana"/>
          <w:color w:val="000000"/>
          <w:sz w:val="21"/>
          <w:szCs w:val="21"/>
        </w:rPr>
        <w:t>atto dell</w:t>
      </w:r>
      <w:r>
        <w:rPr>
          <w:rFonts w:ascii="Verdana" w:hAnsi="Verdana"/>
          <w:color w:val="000000"/>
          <w:sz w:val="21"/>
          <w:szCs w:val="21"/>
        </w:rPr>
        <w:t xml:space="preserve">’aggiornamento </w:t>
      </w:r>
      <w:r w:rsidRPr="00536BAF">
        <w:rPr>
          <w:rFonts w:ascii="Verdana" w:hAnsi="Verdana"/>
          <w:color w:val="000000"/>
          <w:sz w:val="21"/>
          <w:szCs w:val="21"/>
        </w:rPr>
        <w:t>triennale delle graduatorie.</w:t>
      </w:r>
    </w:p>
    <w:p w:rsidR="00BF4735" w:rsidRDefault="00BF4735" w:rsidP="00BF4735">
      <w:pPr>
        <w:tabs>
          <w:tab w:val="left" w:pos="426"/>
        </w:tabs>
        <w:jc w:val="both"/>
        <w:rPr>
          <w:rFonts w:ascii="Verdana" w:hAnsi="Verdana"/>
          <w:color w:val="000000"/>
          <w:sz w:val="21"/>
          <w:szCs w:val="21"/>
        </w:rPr>
      </w:pPr>
      <w:r w:rsidRPr="00536BAF">
        <w:rPr>
          <w:rFonts w:ascii="Verdana" w:hAnsi="Verdana"/>
          <w:color w:val="000000"/>
          <w:sz w:val="21"/>
          <w:szCs w:val="21"/>
        </w:rPr>
        <w:t>In subordine</w:t>
      </w:r>
      <w:r>
        <w:rPr>
          <w:rFonts w:ascii="Verdana" w:hAnsi="Verdana"/>
          <w:color w:val="000000"/>
          <w:sz w:val="21"/>
          <w:szCs w:val="21"/>
        </w:rPr>
        <w:t>,</w:t>
      </w:r>
      <w:r w:rsidRPr="00536BAF">
        <w:rPr>
          <w:rFonts w:ascii="Verdana" w:hAnsi="Verdana"/>
          <w:color w:val="000000"/>
          <w:sz w:val="21"/>
          <w:szCs w:val="21"/>
        </w:rPr>
        <w:t xml:space="preserve"> </w:t>
      </w:r>
      <w:r>
        <w:rPr>
          <w:rFonts w:ascii="Verdana" w:hAnsi="Verdana"/>
          <w:color w:val="000000"/>
          <w:sz w:val="21"/>
          <w:szCs w:val="21"/>
        </w:rPr>
        <w:t xml:space="preserve">il </w:t>
      </w:r>
      <w:r w:rsidRPr="00536BAF">
        <w:rPr>
          <w:rFonts w:ascii="Verdana" w:hAnsi="Verdana"/>
          <w:color w:val="000000"/>
          <w:sz w:val="21"/>
          <w:szCs w:val="21"/>
        </w:rPr>
        <w:t xml:space="preserve">titolo di specializzazione per il sostegno agli alunni con disabilità </w:t>
      </w:r>
      <w:r>
        <w:rPr>
          <w:rFonts w:ascii="Verdana" w:hAnsi="Verdana"/>
          <w:color w:val="000000"/>
          <w:sz w:val="21"/>
          <w:szCs w:val="21"/>
        </w:rPr>
        <w:t xml:space="preserve">è titolo </w:t>
      </w:r>
      <w:r w:rsidRPr="00536BAF">
        <w:rPr>
          <w:rFonts w:ascii="Verdana" w:hAnsi="Verdana"/>
          <w:color w:val="000000"/>
          <w:sz w:val="21"/>
          <w:szCs w:val="21"/>
        </w:rPr>
        <w:t xml:space="preserve">prioritario nella scelta dei supplenti </w:t>
      </w:r>
      <w:r>
        <w:rPr>
          <w:rFonts w:ascii="Verdana" w:hAnsi="Verdana"/>
          <w:color w:val="000000"/>
          <w:sz w:val="21"/>
          <w:szCs w:val="21"/>
        </w:rPr>
        <w:t>con</w:t>
      </w:r>
      <w:r w:rsidRPr="00536BAF">
        <w:rPr>
          <w:rFonts w:ascii="Verdana" w:hAnsi="Verdana"/>
          <w:color w:val="000000"/>
          <w:sz w:val="21"/>
          <w:szCs w:val="21"/>
        </w:rPr>
        <w:t xml:space="preserve"> </w:t>
      </w:r>
      <w:r>
        <w:rPr>
          <w:rFonts w:ascii="Verdana" w:hAnsi="Verdana"/>
          <w:color w:val="000000"/>
          <w:sz w:val="21"/>
          <w:szCs w:val="21"/>
        </w:rPr>
        <w:t>“</w:t>
      </w:r>
      <w:r w:rsidRPr="00536BAF">
        <w:rPr>
          <w:rFonts w:ascii="Verdana" w:hAnsi="Verdana"/>
          <w:color w:val="000000"/>
          <w:sz w:val="21"/>
          <w:szCs w:val="21"/>
        </w:rPr>
        <w:t>messa a</w:t>
      </w:r>
      <w:r>
        <w:rPr>
          <w:rFonts w:ascii="Verdana" w:hAnsi="Verdana"/>
          <w:color w:val="000000"/>
          <w:sz w:val="21"/>
          <w:szCs w:val="21"/>
        </w:rPr>
        <w:t xml:space="preserve"> </w:t>
      </w:r>
      <w:r w:rsidRPr="00536BAF">
        <w:rPr>
          <w:rFonts w:ascii="Verdana" w:hAnsi="Verdana"/>
          <w:color w:val="000000"/>
          <w:sz w:val="21"/>
          <w:szCs w:val="21"/>
        </w:rPr>
        <w:t>disposizione</w:t>
      </w:r>
      <w:r>
        <w:rPr>
          <w:rFonts w:ascii="Verdana" w:hAnsi="Verdana"/>
          <w:color w:val="000000"/>
          <w:sz w:val="21"/>
          <w:szCs w:val="21"/>
        </w:rPr>
        <w:t>”</w:t>
      </w:r>
      <w:r w:rsidRPr="00536BAF">
        <w:rPr>
          <w:rFonts w:ascii="Verdana" w:hAnsi="Verdana"/>
          <w:color w:val="000000"/>
          <w:sz w:val="21"/>
          <w:szCs w:val="21"/>
        </w:rPr>
        <w:t>.</w:t>
      </w:r>
    </w:p>
    <w:p w:rsidR="00BC0899" w:rsidRDefault="00BF4735" w:rsidP="00BF4735">
      <w:r w:rsidRPr="009815C0">
        <w:rPr>
          <w:rFonts w:ascii="Verdana" w:hAnsi="Verdana"/>
          <w:i/>
          <w:color w:val="000000"/>
          <w:sz w:val="21"/>
          <w:szCs w:val="21"/>
        </w:rPr>
        <w:t xml:space="preserve">Provvediamo ad inserire </w:t>
      </w:r>
      <w:r>
        <w:rPr>
          <w:rFonts w:ascii="Verdana" w:hAnsi="Verdana"/>
          <w:i/>
          <w:color w:val="000000"/>
          <w:sz w:val="21"/>
          <w:szCs w:val="21"/>
        </w:rPr>
        <w:t xml:space="preserve">allegato </w:t>
      </w:r>
      <w:r w:rsidRPr="009815C0">
        <w:rPr>
          <w:rFonts w:ascii="Verdana" w:hAnsi="Verdana"/>
          <w:i/>
          <w:color w:val="000000"/>
          <w:sz w:val="21"/>
          <w:szCs w:val="21"/>
        </w:rPr>
        <w:t>la nota 14578, il D.M. 248 e la tabella A allegata al D.M. 353/2014.</w:t>
      </w:r>
    </w:p>
    <w:sectPr w:rsidR="00BC0899" w:rsidSect="00B903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F4735"/>
    <w:rsid w:val="005673C9"/>
    <w:rsid w:val="009A1C72"/>
    <w:rsid w:val="00AE4522"/>
    <w:rsid w:val="00B903A1"/>
    <w:rsid w:val="00BF4735"/>
    <w:rsid w:val="00C402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473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1C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C7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2015-05-21T05:55:00Z</dcterms:created>
  <dcterms:modified xsi:type="dcterms:W3CDTF">2015-05-21T05:59:00Z</dcterms:modified>
</cp:coreProperties>
</file>