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CC" w:rsidRDefault="00D553CC" w:rsidP="00D553C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IMPUGNAZIONE SANZIONI DISCIPLINARI NEL LAVORO PUBBLICO – INTERPELLO DEL</w:t>
      </w:r>
    </w:p>
    <w:p w:rsidR="00D553CC" w:rsidRDefault="00D553CC" w:rsidP="00D553C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MINISTERO DEL LAVORO E DELLE POLITICHE SOCIALI</w:t>
      </w:r>
    </w:p>
    <w:p w:rsidR="00D553CC" w:rsidRDefault="00D553CC" w:rsidP="00D553C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 Ministero del Lavoro e delle Politiche Sociali - Direzione generale per l’Attività Ispettiva – con</w:t>
      </w:r>
    </w:p>
    <w:p w:rsidR="00D553CC" w:rsidRDefault="00D553CC" w:rsidP="00D553C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Interpello n. 11/2012 del 10 aprile 2012, ha fornito chiarimenti in merito alla impugnazione</w:t>
      </w:r>
    </w:p>
    <w:p w:rsidR="00D553CC" w:rsidRDefault="00D553CC" w:rsidP="00D553C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delle sanzioni disciplinari nel lavoro pubblico.</w:t>
      </w:r>
    </w:p>
    <w:p w:rsidR="00D553CC" w:rsidRDefault="00D553CC" w:rsidP="00D553C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Al riguardo, acquisito il parere della Direzione generale delle Relazioni Industriali e dei Rapporti</w:t>
      </w:r>
    </w:p>
    <w:p w:rsidR="00D553CC" w:rsidRDefault="00D553CC" w:rsidP="00D553C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 Lavoro, della Direzione generale per le Politiche del Personale, dell’Innovazione, del Bilancio</w:t>
      </w:r>
    </w:p>
    <w:p w:rsidR="00D553CC" w:rsidRDefault="00D553CC" w:rsidP="00D553C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 della Logistica e della Presidenza del Consiglio dei Ministri – Dipartimento della Funzione</w:t>
      </w:r>
    </w:p>
    <w:p w:rsidR="00D553CC" w:rsidRDefault="00D553CC" w:rsidP="00D553C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Pubblica, ha precisato che le sanzioni disciplinari irrogate nei confronti dei pubblici dipendenti</w:t>
      </w:r>
    </w:p>
    <w:p w:rsidR="00D553CC" w:rsidRDefault="00D553CC" w:rsidP="00D553C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possono essere impugnate sia attraverso l’esperimento del tentativo facoltativo di conciliazione</w:t>
      </w:r>
    </w:p>
    <w:p w:rsidR="00D553CC" w:rsidRDefault="00D553CC" w:rsidP="00D553C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di cui agli artt. 410 e 411 </w:t>
      </w:r>
      <w:proofErr w:type="spellStart"/>
      <w:r>
        <w:rPr>
          <w:rFonts w:ascii="Verdana" w:hAnsi="Verdana" w:cs="Verdana"/>
          <w:sz w:val="20"/>
          <w:szCs w:val="20"/>
        </w:rPr>
        <w:t>c.p.c.</w:t>
      </w:r>
      <w:proofErr w:type="spellEnd"/>
      <w:r>
        <w:rPr>
          <w:rFonts w:ascii="Verdana" w:hAnsi="Verdana" w:cs="Verdana"/>
          <w:sz w:val="20"/>
          <w:szCs w:val="20"/>
        </w:rPr>
        <w:t>, nonché mediante le procedure arbitrali ex artt. 412 e 412</w:t>
      </w:r>
    </w:p>
    <w:p w:rsidR="00D553CC" w:rsidRDefault="00D553CC" w:rsidP="00D553C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</w:rPr>
        <w:t>quater</w:t>
      </w:r>
      <w:proofErr w:type="spellEnd"/>
      <w:r>
        <w:rPr>
          <w:rFonts w:ascii="Verdana" w:hAnsi="Verdana" w:cs="Verdana"/>
          <w:sz w:val="20"/>
          <w:szCs w:val="20"/>
        </w:rPr>
        <w:t>, ferma restando comunque l’</w:t>
      </w:r>
      <w:proofErr w:type="spellStart"/>
      <w:r>
        <w:rPr>
          <w:rFonts w:ascii="Verdana" w:hAnsi="Verdana" w:cs="Verdana"/>
          <w:sz w:val="20"/>
          <w:szCs w:val="20"/>
        </w:rPr>
        <w:t>esperibilità</w:t>
      </w:r>
      <w:proofErr w:type="spellEnd"/>
      <w:r>
        <w:rPr>
          <w:rFonts w:ascii="Verdana" w:hAnsi="Verdana" w:cs="Verdana"/>
          <w:sz w:val="20"/>
          <w:szCs w:val="20"/>
        </w:rPr>
        <w:t xml:space="preserve"> dell’azione giudiziaria negli ordinari termini</w:t>
      </w:r>
    </w:p>
    <w:p w:rsidR="00D553CC" w:rsidRDefault="00D553CC" w:rsidP="00D553C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prescrizionali.</w:t>
      </w:r>
    </w:p>
    <w:sectPr w:rsidR="00D553CC" w:rsidSect="00212A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553CC"/>
    <w:rsid w:val="001B32FA"/>
    <w:rsid w:val="00212AC6"/>
    <w:rsid w:val="0058610D"/>
    <w:rsid w:val="00C60365"/>
    <w:rsid w:val="00D553CC"/>
    <w:rsid w:val="00DD2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2A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SNALF- PA</dc:creator>
  <cp:keywords/>
  <dc:description/>
  <cp:lastModifiedBy>SNALF- PA</cp:lastModifiedBy>
  <cp:revision>1</cp:revision>
  <dcterms:created xsi:type="dcterms:W3CDTF">2012-04-17T08:56:00Z</dcterms:created>
  <dcterms:modified xsi:type="dcterms:W3CDTF">2012-04-17T09:05:00Z</dcterms:modified>
</cp:coreProperties>
</file>